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17C7D" w14:textId="6C815919" w:rsidR="0035701C" w:rsidRPr="00440032" w:rsidRDefault="0035701C" w:rsidP="00440032">
      <w:pPr>
        <w:pStyle w:val="Nagwek"/>
        <w:tabs>
          <w:tab w:val="clear" w:pos="4536"/>
          <w:tab w:val="clear" w:pos="9072"/>
        </w:tabs>
        <w:rPr>
          <w:rFonts w:asciiTheme="majorHAnsi" w:hAnsiTheme="majorHAnsi" w:cstheme="majorHAnsi"/>
          <w:b/>
          <w:sz w:val="24"/>
        </w:rPr>
      </w:pPr>
      <w:r w:rsidRPr="00440032">
        <w:rPr>
          <w:rFonts w:asciiTheme="majorHAnsi" w:hAnsiTheme="majorHAnsi" w:cstheme="majorHAnsi"/>
          <w:b/>
          <w:sz w:val="24"/>
        </w:rPr>
        <w:t>Załącznik nr 1</w:t>
      </w:r>
      <w:r w:rsidR="00440032" w:rsidRPr="00440032">
        <w:rPr>
          <w:rFonts w:asciiTheme="majorHAnsi" w:hAnsiTheme="majorHAnsi" w:cstheme="majorHAnsi"/>
          <w:b/>
          <w:sz w:val="24"/>
        </w:rPr>
        <w:t xml:space="preserve"> do zapytania DZ/DZ-072-100/26</w:t>
      </w:r>
    </w:p>
    <w:p w14:paraId="1ED19F3A" w14:textId="39440380" w:rsidR="0035701C" w:rsidRPr="00440032" w:rsidRDefault="0035701C" w:rsidP="0035701C">
      <w:pPr>
        <w:pStyle w:val="Nagwek"/>
        <w:tabs>
          <w:tab w:val="clear" w:pos="4536"/>
          <w:tab w:val="clear" w:pos="9072"/>
        </w:tabs>
        <w:rPr>
          <w:rFonts w:asciiTheme="majorHAnsi" w:hAnsiTheme="majorHAnsi" w:cstheme="majorHAnsi"/>
          <w:sz w:val="24"/>
        </w:rPr>
      </w:pPr>
      <w:r w:rsidRPr="00440032">
        <w:rPr>
          <w:rFonts w:asciiTheme="majorHAnsi" w:hAnsiTheme="majorHAnsi" w:cstheme="majorHAnsi"/>
          <w:sz w:val="24"/>
        </w:rPr>
        <w:t>Odczynniki chemiczne do diagnostyki cytogenetycznej</w:t>
      </w:r>
      <w:r w:rsidR="00F95784" w:rsidRPr="00440032">
        <w:rPr>
          <w:rFonts w:asciiTheme="majorHAnsi" w:hAnsiTheme="majorHAnsi" w:cstheme="majorHAnsi"/>
          <w:sz w:val="24"/>
        </w:rPr>
        <w:t xml:space="preserve"> </w:t>
      </w:r>
    </w:p>
    <w:p w14:paraId="6AD64969" w14:textId="77777777" w:rsidR="0035701C" w:rsidRPr="00440032" w:rsidRDefault="0035701C" w:rsidP="00440032">
      <w:pPr>
        <w:shd w:val="pct10" w:color="auto" w:fill="auto"/>
        <w:rPr>
          <w:rFonts w:asciiTheme="majorHAnsi" w:hAnsiTheme="majorHAnsi" w:cstheme="majorHAnsi"/>
          <w:b/>
          <w:spacing w:val="20"/>
          <w:szCs w:val="20"/>
        </w:rPr>
      </w:pPr>
      <w:r w:rsidRPr="00440032">
        <w:rPr>
          <w:rFonts w:asciiTheme="majorHAnsi" w:hAnsiTheme="majorHAnsi" w:cstheme="majorHAnsi"/>
          <w:b/>
          <w:spacing w:val="20"/>
        </w:rPr>
        <w:t xml:space="preserve">Specyfikacja Asortymentowo - Cenowa </w:t>
      </w:r>
    </w:p>
    <w:p w14:paraId="39CB3D14" w14:textId="77777777" w:rsidR="0035701C" w:rsidRDefault="0035701C" w:rsidP="0035701C">
      <w:pPr>
        <w:shd w:val="pct10" w:color="auto" w:fill="auto"/>
        <w:jc w:val="center"/>
        <w:rPr>
          <w:rFonts w:ascii="Arial Narrow" w:hAnsi="Arial Narrow"/>
          <w:b/>
          <w:i/>
          <w:spacing w:val="20"/>
          <w:szCs w:val="20"/>
          <w:u w:val="single"/>
        </w:rPr>
      </w:pPr>
    </w:p>
    <w:p w14:paraId="44F2EC86" w14:textId="77777777" w:rsidR="0035701C" w:rsidRPr="00192F32" w:rsidRDefault="0035701C" w:rsidP="0035701C">
      <w:pPr>
        <w:rPr>
          <w:b/>
        </w:rPr>
      </w:pPr>
    </w:p>
    <w:tbl>
      <w:tblPr>
        <w:tblW w:w="13892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900"/>
        <w:gridCol w:w="1260"/>
        <w:gridCol w:w="1420"/>
        <w:gridCol w:w="1985"/>
        <w:gridCol w:w="850"/>
        <w:gridCol w:w="1418"/>
        <w:gridCol w:w="1559"/>
      </w:tblGrid>
      <w:tr w:rsidR="00AA0526" w:rsidRPr="00440032" w14:paraId="4C8B66D6" w14:textId="77777777" w:rsidTr="00440032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14:paraId="3668BCBA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bookmarkStart w:id="0" w:name="OLE_LINK1"/>
          </w:p>
          <w:p w14:paraId="6B1D028F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LP.</w:t>
            </w:r>
          </w:p>
          <w:p w14:paraId="52F823BB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14:paraId="147F9979" w14:textId="77777777" w:rsidR="00AA0526" w:rsidRPr="00440032" w:rsidRDefault="00AA0526" w:rsidP="00440032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  <w:p w14:paraId="7E2F76F1" w14:textId="77777777" w:rsidR="00AA0526" w:rsidRPr="00440032" w:rsidRDefault="00AA0526" w:rsidP="00440032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440032">
              <w:rPr>
                <w:rFonts w:asciiTheme="majorHAnsi" w:hAnsiTheme="majorHAnsi" w:cstheme="majorHAnsi"/>
                <w:b/>
              </w:rPr>
              <w:t xml:space="preserve"> Opis przedmiotu zamówienia </w:t>
            </w:r>
          </w:p>
          <w:p w14:paraId="7DF30065" w14:textId="77777777" w:rsidR="00AA0526" w:rsidRPr="00440032" w:rsidRDefault="00AA0526" w:rsidP="00440032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440032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893993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6772A4C6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440032">
              <w:rPr>
                <w:rFonts w:asciiTheme="majorHAnsi" w:hAnsiTheme="majorHAnsi" w:cstheme="majorHAnsi"/>
                <w:color w:val="000000"/>
              </w:rPr>
              <w:t>J.m.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428412F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7596837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440032">
              <w:rPr>
                <w:rFonts w:asciiTheme="majorHAnsi" w:hAnsiTheme="majorHAnsi" w:cstheme="majorHAnsi"/>
                <w:color w:val="000000"/>
              </w:rPr>
              <w:t>Ilość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FFCC0B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14:paraId="6F436F1A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Cena jedn. Netto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0A1FA0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    </w:t>
            </w:r>
          </w:p>
          <w:p w14:paraId="646BF53F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Wartość netto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CAC4D9A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14:paraId="1929CD03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VAT</w:t>
            </w:r>
          </w:p>
          <w:p w14:paraId="73AAAB2D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%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75DB4D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</w:t>
            </w:r>
          </w:p>
          <w:p w14:paraId="456AFFD9" w14:textId="01FE3940" w:rsidR="00AA0526" w:rsidRPr="00440032" w:rsidRDefault="00440032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Wartość brutto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E610CF" w14:textId="77777777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14:paraId="791F9B07" w14:textId="78827611" w:rsidR="00AA0526" w:rsidRPr="00440032" w:rsidRDefault="00AA0526" w:rsidP="0044003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  </w:t>
            </w:r>
            <w:r w:rsidR="00440032">
              <w:rPr>
                <w:rFonts w:asciiTheme="majorHAnsi" w:hAnsiTheme="majorHAnsi" w:cstheme="majorHAnsi"/>
              </w:rPr>
              <w:t>Producent i nr kat. oferowanego produktu</w:t>
            </w:r>
            <w:r w:rsidRPr="00440032">
              <w:rPr>
                <w:rFonts w:asciiTheme="majorHAnsi" w:hAnsiTheme="majorHAnsi" w:cstheme="majorHAnsi"/>
              </w:rPr>
              <w:t xml:space="preserve">   </w:t>
            </w:r>
          </w:p>
        </w:tc>
      </w:tr>
      <w:tr w:rsidR="00AA0526" w:rsidRPr="00440032" w14:paraId="6DCBAEEA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1AF4ECFF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34B087" w14:textId="4018BE28" w:rsidR="00AA0526" w:rsidRPr="00440032" w:rsidRDefault="00AA0526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Alkohol metylowy, CH₃OH, Czystość: ≥ 99,5 – ≥ 99,9 %, Gęstość (20 °C): ~ 0,790 – 0,793 g/cm³, Zawartość wody: ≤ 0,05 %, </w:t>
            </w:r>
            <w:r w:rsidR="00CA036E" w:rsidRPr="00440032">
              <w:rPr>
                <w:rFonts w:asciiTheme="majorHAnsi" w:hAnsiTheme="majorHAnsi" w:cstheme="majorHAnsi"/>
              </w:rPr>
              <w:t xml:space="preserve">Wymaga kontrola zanieczyszczeń organicznych i metalicznych na poziomie śladowym (PPM), </w:t>
            </w:r>
            <w:r w:rsidRPr="00440032">
              <w:rPr>
                <w:rFonts w:asciiTheme="majorHAnsi" w:hAnsiTheme="majorHAnsi" w:cstheme="majorHAnsi"/>
              </w:rPr>
              <w:t xml:space="preserve">h ilości zanieczyszczeń metalicznych lub organicznych, </w:t>
            </w:r>
            <w:r w:rsidR="00CA036E" w:rsidRPr="00440032">
              <w:rPr>
                <w:rFonts w:asciiTheme="majorHAnsi" w:hAnsiTheme="majorHAnsi" w:cstheme="majorHAnsi"/>
              </w:rPr>
              <w:t>nie</w:t>
            </w:r>
            <w:r w:rsidRPr="00440032">
              <w:rPr>
                <w:rFonts w:asciiTheme="majorHAnsi" w:hAnsiTheme="majorHAnsi" w:cstheme="majorHAnsi"/>
              </w:rPr>
              <w:t xml:space="preserve"> mogą interferować z procesami utrwalania i barwienia, butelka 1L, odporne na parowanie, do zastosowania w cytogenetyce,</w:t>
            </w:r>
            <w:r w:rsidR="00CA036E" w:rsidRPr="00440032">
              <w:rPr>
                <w:rFonts w:asciiTheme="majorHAnsi" w:hAnsiTheme="majorHAnsi" w:cstheme="majorHAnsi"/>
              </w:rPr>
              <w:t xml:space="preserve"> zgodny ze standardem ACS, Ph. Eur lub równoważny, certyfikat analizy dla każdej partii</w:t>
            </w:r>
            <w:r w:rsidRPr="00440032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E172" w14:textId="1C89D25B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25 szt.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AE5A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A87AA" w14:textId="5C615EA1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5DD8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4268D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A518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7A8F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773B7F03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3A024796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8113A5" w14:textId="4E29167E" w:rsidR="00AA0526" w:rsidRPr="00440032" w:rsidRDefault="00AA0526" w:rsidP="0042119A">
            <w:pPr>
              <w:rPr>
                <w:rFonts w:asciiTheme="majorHAnsi" w:hAnsiTheme="majorHAnsi" w:cstheme="majorHAnsi"/>
                <w:color w:val="EE0000"/>
              </w:rPr>
            </w:pPr>
            <w:r w:rsidRPr="00440032">
              <w:rPr>
                <w:rFonts w:asciiTheme="majorHAnsi" w:hAnsiTheme="majorHAnsi" w:cstheme="majorHAnsi"/>
              </w:rPr>
              <w:t>Kwas octowy lodowaty, CH₃COOH, Czystość ≥ 99,8%, Gęstość (20°C): 1,048–1,051 g/cm³, Woda: ≤ 0,2%, do zastosowania w cytogenetyce, butelka 2,5L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A60AC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2szt.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60A2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D887" w14:textId="1E784040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9D4B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0F74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59A60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286C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164BC2DB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408496BE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97CC38" w14:textId="1335ED86" w:rsidR="00AA0526" w:rsidRPr="00440032" w:rsidRDefault="00AA0526" w:rsidP="005D12C6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Elektrolit do elektrod pHmetru, 3,5M KCl </w:t>
            </w:r>
            <w:r w:rsidRPr="00440032">
              <w:rPr>
                <w:rFonts w:asciiTheme="majorHAnsi" w:hAnsiTheme="majorHAnsi" w:cstheme="majorHAnsi"/>
                <w:color w:val="000000" w:themeColor="text1"/>
              </w:rPr>
              <w:t xml:space="preserve">objętość 120 ml. </w:t>
            </w:r>
            <w:r w:rsidRPr="00440032">
              <w:rPr>
                <w:rFonts w:asciiTheme="majorHAnsi" w:hAnsiTheme="majorHAnsi" w:cstheme="majorHAnsi"/>
              </w:rPr>
              <w:t xml:space="preserve">kompatybilny z </w:t>
            </w:r>
            <w:r w:rsidRPr="00440032">
              <w:rPr>
                <w:rFonts w:asciiTheme="majorHAnsi" w:hAnsiTheme="majorHAnsi" w:cstheme="majorHAnsi"/>
              </w:rPr>
              <w:lastRenderedPageBreak/>
              <w:t>pHmetrem Hanna instruments HI 2210</w:t>
            </w:r>
            <w:r w:rsidR="00C86C36" w:rsidRPr="00440032">
              <w:rPr>
                <w:rFonts w:asciiTheme="majorHAnsi" w:hAnsiTheme="majorHAnsi" w:cstheme="majorHAnsi"/>
              </w:rPr>
              <w:t xml:space="preserve"> oraz elektrodą HI1131</w:t>
            </w:r>
            <w:r w:rsidRPr="00440032">
              <w:rPr>
                <w:rFonts w:asciiTheme="majorHAnsi" w:hAnsiTheme="majorHAnsi" w:cstheme="majorHAnsi"/>
              </w:rPr>
              <w:t xml:space="preserve">, przeznaczony do elektrod z podwójną diafragmą, </w:t>
            </w:r>
            <w:r w:rsidRPr="00440032">
              <w:rPr>
                <w:rFonts w:asciiTheme="majorHAnsi" w:hAnsiTheme="majorHAnsi" w:cstheme="majorHAnsi"/>
                <w:color w:val="000000" w:themeColor="text1"/>
              </w:rPr>
              <w:t>4 szt./op.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0E2D" w14:textId="39A8BD3E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2 op.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C8B58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953F" w14:textId="06459119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6967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7440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A14E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F019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3E2CE9AB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737F01E1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780906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Zestaw kalibracyjny do kalibracji pHmetru, zestaw wyposażony w bufory o pH 4,01 oraz 7,01, pakowany w saszetki 20ml, zestaw z 10 saszetkami do jednorazowego użytku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267B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2 szt.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F1C11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9ADB" w14:textId="35DC2840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5A5DE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51E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2D9B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26582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3E30DA61" w14:textId="77777777" w:rsidTr="00AA0526">
        <w:trPr>
          <w:trHeight w:val="8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5C0D1CDC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1918A8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Barwnik May-Grunwald, roztwór do barwienia, opakowanie 500ml.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0CE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3 szt.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E113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5F42" w14:textId="5A00F39E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83A25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B8F1C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EDC8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7C582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16CEE219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73368005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DA3648" w14:textId="2E2C652D" w:rsidR="00AA0526" w:rsidRPr="00440032" w:rsidRDefault="00CA036E" w:rsidP="00CA036E">
            <w:pPr>
              <w:rPr>
                <w:rFonts w:asciiTheme="majorHAnsi" w:hAnsiTheme="majorHAnsi" w:cstheme="majorHAnsi"/>
                <w:color w:val="FF0000"/>
              </w:rPr>
            </w:pPr>
            <w:r w:rsidRPr="00440032">
              <w:rPr>
                <w:rFonts w:asciiTheme="majorHAnsi" w:hAnsiTheme="majorHAnsi" w:cstheme="majorHAnsi"/>
              </w:rPr>
              <w:t>Barwnik typu Giemsa (azure-eosin-methylene blue), roztwór standaryzowany do mikroskopii i cytogenetyki</w:t>
            </w:r>
            <w:r w:rsidR="00AA0526" w:rsidRPr="00440032">
              <w:rPr>
                <w:rFonts w:asciiTheme="majorHAnsi" w:hAnsiTheme="majorHAnsi" w:cstheme="majorHAnsi"/>
              </w:rPr>
              <w:t>,</w:t>
            </w:r>
            <w:r w:rsidRPr="00440032">
              <w:rPr>
                <w:rFonts w:asciiTheme="majorHAnsi" w:hAnsiTheme="majorHAnsi" w:cstheme="majorHAnsi"/>
              </w:rPr>
              <w:t xml:space="preserve"> preparat standaryzowany pod względem stosunku barwników (azure B, eosin Y, methylene blue) zapewniający powtarzalność barwienia, przeznaczony do barwień hematologicznych i cytogenetycznych (w tym prążkowania GTG),</w:t>
            </w:r>
            <w:r w:rsidR="00AA0526" w:rsidRPr="00440032">
              <w:rPr>
                <w:rFonts w:asciiTheme="majorHAnsi" w:hAnsiTheme="majorHAnsi" w:cstheme="majorHAnsi"/>
              </w:rPr>
              <w:t xml:space="preserve"> </w:t>
            </w:r>
            <w:r w:rsidRPr="00440032">
              <w:rPr>
                <w:rFonts w:asciiTheme="majorHAnsi" w:hAnsiTheme="majorHAnsi" w:cstheme="majorHAnsi"/>
              </w:rPr>
              <w:t xml:space="preserve">barwniki o jakości co najmniej mikroskopowej/analitycznej, bez zanieczyszczeń powodujących tło lub artefakty barwienia, zapewniona </w:t>
            </w:r>
            <w:r w:rsidRPr="00440032">
              <w:rPr>
                <w:rFonts w:asciiTheme="majorHAnsi" w:hAnsiTheme="majorHAnsi" w:cstheme="majorHAnsi"/>
              </w:rPr>
              <w:lastRenderedPageBreak/>
              <w:t xml:space="preserve">powtarzalność między seriami produkcyjnymi, </w:t>
            </w:r>
            <w:r w:rsidR="00AA0526" w:rsidRPr="00440032">
              <w:rPr>
                <w:rFonts w:asciiTheme="majorHAnsi" w:hAnsiTheme="majorHAnsi" w:cstheme="majorHAnsi"/>
              </w:rPr>
              <w:t xml:space="preserve">opakowanie 500ml.,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9BE2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lastRenderedPageBreak/>
              <w:t>2 szt.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133A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8817" w14:textId="718EE2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30A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7174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4392B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1224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AA0526" w:rsidRPr="00440032" w14:paraId="1720B1ED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19C485AB" w14:textId="77777777" w:rsidR="00AA0526" w:rsidRPr="00440032" w:rsidRDefault="00AA0526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48A785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Tween 20, niejonowy surfaktant, odpowiedni do użytku badawczego, wysoka czystość chemiczna, opakowanie 500ml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3DFBD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 xml:space="preserve">1 szt.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3280" w14:textId="77777777" w:rsidR="00AA0526" w:rsidRPr="00440032" w:rsidRDefault="00AA0526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0DFF" w14:textId="1192E8EB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E401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B136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43CF5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362C3" w14:textId="77777777" w:rsidR="00AA0526" w:rsidRPr="00440032" w:rsidRDefault="00AA0526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CA036E" w:rsidRPr="00440032" w14:paraId="4FA8A3AA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3D0290A6" w14:textId="77777777" w:rsidR="00CA036E" w:rsidRPr="00440032" w:rsidRDefault="00CA036E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67F64F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Fosforan dwuwodorowy potasu (KH₂PO₄), do zastosowań laboratoryjnych (bufory fosforanowe do barwień mikroskopowych)</w:t>
            </w:r>
          </w:p>
          <w:p w14:paraId="7A584E3E" w14:textId="37D2F210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Parametry jakościowe:</w:t>
            </w:r>
          </w:p>
          <w:p w14:paraId="28BEABE4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wzór chemiczny: KH₂PO₄</w:t>
            </w:r>
          </w:p>
          <w:p w14:paraId="35D51DF9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masa molowa: 136,09 g/mol</w:t>
            </w:r>
          </w:p>
          <w:p w14:paraId="4BEBB29F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czystość: ≥ 99,0% (cz.d.a.)</w:t>
            </w:r>
          </w:p>
          <w:p w14:paraId="2C305D72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zawartość chlorków (Cl⁻): ≤ 0,005%</w:t>
            </w:r>
          </w:p>
          <w:p w14:paraId="567DB687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zawartość siarczanów (SO₄²⁻): ≤ 0,01%</w:t>
            </w:r>
          </w:p>
          <w:p w14:paraId="2FD04A43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zawartość żelaza (Fe): ≤ 0,001%</w:t>
            </w:r>
          </w:p>
          <w:p w14:paraId="64BDB16C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metale ciężkie (jako Pb): ≤ 0,001%</w:t>
            </w:r>
          </w:p>
          <w:p w14:paraId="53A12E56" w14:textId="7777777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strata przy suszeniu: ≤ 0,5%</w:t>
            </w:r>
          </w:p>
          <w:p w14:paraId="3FA55FDD" w14:textId="2052E539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postać: ciało stałe, krystaliczne, dobrze rozpuszczalne w wodzie,</w:t>
            </w:r>
            <w:r w:rsidRPr="00440032">
              <w:rPr>
                <w:rFonts w:asciiTheme="majorHAnsi" w:hAnsiTheme="majorHAnsi" w:cstheme="majorHAnsi"/>
              </w:rPr>
              <w:br/>
              <w:t>odczynnik klasy cz.d.a. lub równoważny,</w:t>
            </w:r>
            <w:r w:rsidRPr="00440032">
              <w:rPr>
                <w:rFonts w:asciiTheme="majorHAnsi" w:hAnsiTheme="majorHAnsi" w:cstheme="majorHAnsi"/>
              </w:rPr>
              <w:br/>
              <w:t>odczynnik odpowiedni do przygotowania buforów fosforanowych (np. bufor Sorensena) stosowanych w barwieniach mikroskopowych</w:t>
            </w:r>
          </w:p>
          <w:p w14:paraId="465B7102" w14:textId="5CC40347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lastRenderedPageBreak/>
              <w:t>opakowanie: min. 500 g</w:t>
            </w:r>
          </w:p>
          <w:p w14:paraId="2673F4B7" w14:textId="3D0B3DC2" w:rsidR="00CA036E" w:rsidRPr="00440032" w:rsidRDefault="00CA036E" w:rsidP="00CA036E">
            <w:pPr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t>każda partia: certyfikat analizy (CoA)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FE41A" w14:textId="4C53C495" w:rsidR="00CA036E" w:rsidRPr="00440032" w:rsidRDefault="002104B2" w:rsidP="0042119A">
            <w:pPr>
              <w:jc w:val="center"/>
              <w:rPr>
                <w:rFonts w:asciiTheme="majorHAnsi" w:hAnsiTheme="majorHAnsi" w:cstheme="majorHAnsi"/>
              </w:rPr>
            </w:pPr>
            <w:r w:rsidRPr="00440032">
              <w:rPr>
                <w:rFonts w:asciiTheme="majorHAnsi" w:hAnsiTheme="majorHAnsi" w:cstheme="majorHAnsi"/>
              </w:rPr>
              <w:lastRenderedPageBreak/>
              <w:t>1 szt.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8832" w14:textId="77777777" w:rsidR="00CA036E" w:rsidRPr="00440032" w:rsidRDefault="00CA036E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C55" w14:textId="77777777" w:rsidR="00CA036E" w:rsidRPr="00440032" w:rsidRDefault="00CA036E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DE60" w14:textId="77777777" w:rsidR="00CA036E" w:rsidRPr="00440032" w:rsidRDefault="00CA036E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C605" w14:textId="77777777" w:rsidR="00CA036E" w:rsidRPr="00440032" w:rsidRDefault="00CA036E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69AE" w14:textId="77777777" w:rsidR="00CA036E" w:rsidRPr="00440032" w:rsidRDefault="00CA036E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33D6E" w14:textId="77777777" w:rsidR="00CA036E" w:rsidRPr="00440032" w:rsidRDefault="00CA036E" w:rsidP="0042119A">
            <w:pPr>
              <w:rPr>
                <w:rFonts w:asciiTheme="majorHAnsi" w:hAnsiTheme="majorHAnsi" w:cstheme="majorHAnsi"/>
              </w:rPr>
            </w:pPr>
          </w:p>
        </w:tc>
      </w:tr>
      <w:tr w:rsidR="00440032" w:rsidRPr="00440032" w14:paraId="04741A1F" w14:textId="77777777" w:rsidTr="00AA052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19CD1993" w14:textId="77777777" w:rsidR="00440032" w:rsidRPr="00440032" w:rsidRDefault="00440032" w:rsidP="00637C55">
            <w:pPr>
              <w:pStyle w:val="Akapitzlist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ADC8A" w14:textId="218FB2EF" w:rsidR="00440032" w:rsidRPr="00440032" w:rsidRDefault="00440032" w:rsidP="00CA036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Razem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868D" w14:textId="77777777" w:rsidR="00440032" w:rsidRPr="00440032" w:rsidRDefault="00440032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5C922" w14:textId="77777777" w:rsidR="00440032" w:rsidRPr="00440032" w:rsidRDefault="00440032" w:rsidP="0042119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1E534" w14:textId="77777777" w:rsidR="00440032" w:rsidRPr="00440032" w:rsidRDefault="00440032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0382" w14:textId="77777777" w:rsidR="00440032" w:rsidRPr="00440032" w:rsidRDefault="00440032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A89BE" w14:textId="77777777" w:rsidR="00440032" w:rsidRPr="00440032" w:rsidRDefault="00440032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2E6B6" w14:textId="77777777" w:rsidR="00440032" w:rsidRPr="00440032" w:rsidRDefault="00440032" w:rsidP="004211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9FCB" w14:textId="77777777" w:rsidR="00440032" w:rsidRPr="00440032" w:rsidRDefault="00440032" w:rsidP="0042119A">
            <w:pPr>
              <w:rPr>
                <w:rFonts w:asciiTheme="majorHAnsi" w:hAnsiTheme="majorHAnsi" w:cstheme="majorHAnsi"/>
              </w:rPr>
            </w:pPr>
          </w:p>
        </w:tc>
      </w:tr>
      <w:bookmarkEnd w:id="0"/>
    </w:tbl>
    <w:p w14:paraId="5C5697D4" w14:textId="77777777" w:rsidR="0035701C" w:rsidRPr="00EC01ED" w:rsidRDefault="0035701C" w:rsidP="0035701C">
      <w:pPr>
        <w:rPr>
          <w:sz w:val="20"/>
        </w:rPr>
      </w:pPr>
    </w:p>
    <w:p w14:paraId="641356FC" w14:textId="77777777" w:rsidR="00440032" w:rsidRPr="00742269" w:rsidRDefault="0035701C" w:rsidP="00440032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color w:val="000000"/>
        </w:rPr>
      </w:pPr>
      <w:r w:rsidRPr="00EC01ED">
        <w:rPr>
          <w:sz w:val="20"/>
        </w:rPr>
        <w:t xml:space="preserve"> </w:t>
      </w:r>
      <w:r w:rsidR="00440032" w:rsidRPr="00742269">
        <w:rPr>
          <w:rFonts w:asciiTheme="minorHAnsi" w:hAnsiTheme="minorHAnsi" w:cstheme="minorHAnsi"/>
          <w:color w:val="000000"/>
        </w:rPr>
        <w:t>Składam ofertę na wykonanie przedmiotu zamówienia w zakresie określonym powyżej na kwotę:</w:t>
      </w:r>
    </w:p>
    <w:p w14:paraId="54FCEBF2" w14:textId="77777777" w:rsidR="00440032" w:rsidRPr="00742269" w:rsidRDefault="00440032" w:rsidP="00440032">
      <w:pPr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14:paraId="05F47A0F" w14:textId="77777777" w:rsidR="00440032" w:rsidRPr="00742269" w:rsidRDefault="00440032" w:rsidP="00440032">
      <w:pPr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                NETTO: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t xml:space="preserve">    </w:t>
      </w: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14:paraId="0EFB4E72" w14:textId="77777777" w:rsidR="00440032" w:rsidRPr="00742269" w:rsidRDefault="00440032" w:rsidP="00440032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color w:val="000000"/>
        </w:rPr>
      </w:pPr>
      <w:r w:rsidRPr="00742269">
        <w:rPr>
          <w:rFonts w:asciiTheme="minorHAnsi" w:hAnsiTheme="minorHAnsi" w:cstheme="minorHAnsi"/>
          <w:color w:val="000000"/>
        </w:rPr>
        <w:t xml:space="preserve">Oświadczam, że uważam się za związanego niniejszą ofertą na okres …………….. ( min. 30 dni ) licząc od daty wyznaczonej jako termin składania ofert.  </w:t>
      </w:r>
    </w:p>
    <w:p w14:paraId="59FD1958" w14:textId="77777777" w:rsidR="00440032" w:rsidRPr="00742269" w:rsidRDefault="00440032" w:rsidP="00440032">
      <w:pPr>
        <w:pStyle w:val="Akapitzlist"/>
        <w:numPr>
          <w:ilvl w:val="0"/>
          <w:numId w:val="5"/>
        </w:numPr>
        <w:rPr>
          <w:rFonts w:asciiTheme="minorHAnsi" w:eastAsia="Calibr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eastAsia="Calibri" w:hAnsiTheme="minorHAnsi" w:cstheme="minorHAnsi"/>
          <w:color w:val="000000"/>
          <w:lang w:eastAsia="en-US"/>
        </w:rPr>
        <w:t>Termin płatności: 30 dni licząc od daty dostarczenia Zamawiającemu prawidłowo wystawionej faktury.</w:t>
      </w:r>
    </w:p>
    <w:p w14:paraId="5DC22C12" w14:textId="77777777" w:rsidR="00440032" w:rsidRPr="00742269" w:rsidRDefault="00440032" w:rsidP="00440032">
      <w:pPr>
        <w:pStyle w:val="Akapitzlist"/>
        <w:numPr>
          <w:ilvl w:val="0"/>
          <w:numId w:val="5"/>
        </w:numPr>
        <w:rPr>
          <w:rFonts w:asciiTheme="minorHAnsi" w:eastAsia="Calibr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eastAsia="Calibri" w:hAnsiTheme="minorHAnsi" w:cstheme="minorHAnsi"/>
          <w:color w:val="000000"/>
          <w:lang w:eastAsia="en-US"/>
        </w:rPr>
        <w:t xml:space="preserve">Termin realizacji /dostawy: zobowiązuję się do wykonywania dostaw sukcesywnych w terminie maksymalnie </w:t>
      </w: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do…………dni roboczych, 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t>na podstawie składa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softHyphen/>
        <w:t>nych przez Zam</w:t>
      </w:r>
      <w:bookmarkStart w:id="1" w:name="_GoBack"/>
      <w:bookmarkEnd w:id="1"/>
      <w:r w:rsidRPr="00742269">
        <w:rPr>
          <w:rFonts w:asciiTheme="minorHAnsi" w:eastAsia="Calibri" w:hAnsiTheme="minorHAnsi" w:cstheme="minorHAnsi"/>
          <w:color w:val="000000"/>
          <w:lang w:eastAsia="en-US"/>
        </w:rPr>
        <w:t>awiają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softHyphen/>
        <w:t xml:space="preserve">cego zamówień ilościowo-asortymentowych, licząc bieg terminu od dnia otrzymania zamówienia Zamawiającego),  </w:t>
      </w:r>
    </w:p>
    <w:p w14:paraId="7D2185FA" w14:textId="77777777" w:rsidR="00440032" w:rsidRPr="00742269" w:rsidRDefault="00440032" w:rsidP="00440032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hAnsiTheme="minorHAnsi" w:cstheme="minorHAnsi"/>
          <w:color w:val="000000"/>
        </w:rPr>
        <w:t xml:space="preserve">Oświadczam, że termin przydatności na dostarczony asortyment wynosi…………..miesięcy liczony od dnia odbioru asortymentu przez Zamawiającego. </w:t>
      </w:r>
    </w:p>
    <w:p w14:paraId="0A1DC70D" w14:textId="77777777" w:rsidR="00440032" w:rsidRPr="00742269" w:rsidRDefault="00440032" w:rsidP="00440032">
      <w:pPr>
        <w:rPr>
          <w:rFonts w:asciiTheme="minorHAnsi" w:hAnsiTheme="minorHAnsi" w:cstheme="minorHAnsi"/>
        </w:rPr>
      </w:pP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  <w:t xml:space="preserve">                  </w:t>
      </w:r>
    </w:p>
    <w:p w14:paraId="336A01AF" w14:textId="77777777" w:rsidR="00440032" w:rsidRPr="00742269" w:rsidRDefault="00440032" w:rsidP="00440032">
      <w:pPr>
        <w:spacing w:line="276" w:lineRule="auto"/>
        <w:rPr>
          <w:rFonts w:asciiTheme="minorHAnsi" w:hAnsiTheme="minorHAnsi" w:cstheme="minorHAnsi"/>
          <w:b/>
        </w:rPr>
      </w:pPr>
      <w:r w:rsidRPr="00742269">
        <w:rPr>
          <w:rFonts w:asciiTheme="minorHAnsi" w:hAnsiTheme="minorHAnsi" w:cstheme="minorHAnsi"/>
          <w:b/>
        </w:rPr>
        <w:t>data, pieczątka i podpis Wykonawcy</w:t>
      </w:r>
    </w:p>
    <w:p w14:paraId="04CF66C0" w14:textId="77777777" w:rsidR="00440032" w:rsidRDefault="00440032" w:rsidP="00440032">
      <w:pPr>
        <w:spacing w:line="276" w:lineRule="auto"/>
        <w:rPr>
          <w:rFonts w:asciiTheme="minorHAnsi" w:hAnsiTheme="minorHAnsi" w:cstheme="minorHAnsi"/>
        </w:rPr>
      </w:pPr>
    </w:p>
    <w:p w14:paraId="23A594DD" w14:textId="77777777" w:rsidR="00440032" w:rsidRPr="00742269" w:rsidRDefault="00440032" w:rsidP="0044003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…………....................................</w:t>
      </w:r>
    </w:p>
    <w:p w14:paraId="33007931" w14:textId="71DA8189" w:rsidR="00F9561B" w:rsidRPr="00AA0526" w:rsidRDefault="00F9561B">
      <w:pPr>
        <w:rPr>
          <w:sz w:val="20"/>
        </w:rPr>
      </w:pPr>
    </w:p>
    <w:sectPr w:rsidR="00F9561B" w:rsidRPr="00AA0526" w:rsidSect="0042119A">
      <w:footerReference w:type="even" r:id="rId7"/>
      <w:pgSz w:w="16838" w:h="11906" w:orient="landscape" w:code="9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2B4E1" w14:textId="77777777" w:rsidR="00AD5B59" w:rsidRDefault="00AD5B59">
      <w:r>
        <w:separator/>
      </w:r>
    </w:p>
  </w:endnote>
  <w:endnote w:type="continuationSeparator" w:id="0">
    <w:p w14:paraId="002357A6" w14:textId="77777777" w:rsidR="00AD5B59" w:rsidRDefault="00AD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311DB" w14:textId="77777777" w:rsidR="00FA4073" w:rsidRDefault="00B709B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70C55E" w14:textId="77777777" w:rsidR="00FA4073" w:rsidRDefault="00FA40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DDBC0" w14:textId="77777777" w:rsidR="00AD5B59" w:rsidRDefault="00AD5B59">
      <w:r>
        <w:separator/>
      </w:r>
    </w:p>
  </w:footnote>
  <w:footnote w:type="continuationSeparator" w:id="0">
    <w:p w14:paraId="0DF51903" w14:textId="77777777" w:rsidR="00AD5B59" w:rsidRDefault="00AD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03CC4"/>
    <w:multiLevelType w:val="hybridMultilevel"/>
    <w:tmpl w:val="D374C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3830E7"/>
    <w:multiLevelType w:val="hybridMultilevel"/>
    <w:tmpl w:val="AD68D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B0DCB"/>
    <w:multiLevelType w:val="hybridMultilevel"/>
    <w:tmpl w:val="DC54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A87EA8"/>
    <w:multiLevelType w:val="hybridMultilevel"/>
    <w:tmpl w:val="A7C01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6117C"/>
    <w:multiLevelType w:val="hybridMultilevel"/>
    <w:tmpl w:val="F9A24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1C"/>
    <w:rsid w:val="0020301C"/>
    <w:rsid w:val="002104B2"/>
    <w:rsid w:val="0035701C"/>
    <w:rsid w:val="0042119A"/>
    <w:rsid w:val="00440032"/>
    <w:rsid w:val="00474ABC"/>
    <w:rsid w:val="004C2317"/>
    <w:rsid w:val="0059631D"/>
    <w:rsid w:val="005D12C6"/>
    <w:rsid w:val="005E6935"/>
    <w:rsid w:val="00637C55"/>
    <w:rsid w:val="008852E8"/>
    <w:rsid w:val="00956FFA"/>
    <w:rsid w:val="00AA0526"/>
    <w:rsid w:val="00AD5B59"/>
    <w:rsid w:val="00B709B0"/>
    <w:rsid w:val="00B82B34"/>
    <w:rsid w:val="00C86C36"/>
    <w:rsid w:val="00CA036E"/>
    <w:rsid w:val="00F9561B"/>
    <w:rsid w:val="00F95784"/>
    <w:rsid w:val="00FA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543F"/>
  <w15:chartTrackingRefBased/>
  <w15:docId w15:val="{949C1CD2-A916-485E-B878-492C3B081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701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570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5701C"/>
  </w:style>
  <w:style w:type="paragraph" w:styleId="Stopka">
    <w:name w:val="footer"/>
    <w:basedOn w:val="Normalny"/>
    <w:link w:val="StopkaZnak"/>
    <w:rsid w:val="003570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70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7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70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0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0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01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7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7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Fidyk</dc:creator>
  <cp:keywords/>
  <dc:description/>
  <cp:lastModifiedBy>Magdalena Filipek</cp:lastModifiedBy>
  <cp:revision>2</cp:revision>
  <cp:lastPrinted>2026-04-24T10:26:00Z</cp:lastPrinted>
  <dcterms:created xsi:type="dcterms:W3CDTF">2026-04-24T10:31:00Z</dcterms:created>
  <dcterms:modified xsi:type="dcterms:W3CDTF">2026-04-24T10:31:00Z</dcterms:modified>
</cp:coreProperties>
</file>